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9" w:type="dxa"/>
        <w:tblLook w:val="04A0"/>
      </w:tblPr>
      <w:tblGrid>
        <w:gridCol w:w="2977"/>
        <w:gridCol w:w="6599"/>
      </w:tblGrid>
      <w:tr w:rsidR="00BF5CB9" w:rsidTr="004B2581">
        <w:tc>
          <w:tcPr>
            <w:tcW w:w="2977" w:type="dxa"/>
          </w:tcPr>
          <w:p w:rsidR="00BF5CB9" w:rsidRPr="00BF5CB9" w:rsidRDefault="00BF5CB9" w:rsidP="00BF5CB9">
            <w:pPr>
              <w:rPr>
                <w:rFonts w:asciiTheme="majorBidi" w:hAnsiTheme="majorBidi" w:cstheme="majorBidi"/>
                <w:b/>
                <w:bCs/>
                <w:sz w:val="24"/>
                <w:szCs w:val="24"/>
              </w:rPr>
            </w:pPr>
            <w:r w:rsidRPr="00BF5CB9">
              <w:rPr>
                <w:rFonts w:asciiTheme="majorBidi" w:hAnsiTheme="majorBidi" w:cstheme="majorBidi"/>
                <w:b/>
                <w:bCs/>
                <w:sz w:val="24"/>
                <w:szCs w:val="24"/>
              </w:rPr>
              <w:t>University Name</w:t>
            </w:r>
          </w:p>
        </w:tc>
        <w:tc>
          <w:tcPr>
            <w:tcW w:w="6599" w:type="dxa"/>
          </w:tcPr>
          <w:p w:rsidR="00BF5CB9" w:rsidRPr="00460C39" w:rsidRDefault="00BF5CB9" w:rsidP="00655827">
            <w:pPr>
              <w:rPr>
                <w:rFonts w:asciiTheme="majorBidi" w:hAnsiTheme="majorBidi" w:cstheme="majorBidi"/>
                <w:sz w:val="24"/>
                <w:szCs w:val="24"/>
              </w:rPr>
            </w:pPr>
            <w:r w:rsidRPr="00460C39">
              <w:rPr>
                <w:rFonts w:asciiTheme="majorBidi" w:hAnsiTheme="majorBidi" w:cstheme="majorBidi"/>
                <w:sz w:val="24"/>
                <w:szCs w:val="24"/>
              </w:rPr>
              <w:t>Al-Istiqlal University</w:t>
            </w:r>
          </w:p>
        </w:tc>
      </w:tr>
      <w:tr w:rsidR="00655827" w:rsidTr="004B2581">
        <w:tc>
          <w:tcPr>
            <w:tcW w:w="2977" w:type="dxa"/>
          </w:tcPr>
          <w:p w:rsidR="00655827" w:rsidRPr="00BF5CB9" w:rsidRDefault="00BE2059" w:rsidP="007E6A78">
            <w:pPr>
              <w:rPr>
                <w:rFonts w:asciiTheme="majorBidi" w:hAnsiTheme="majorBidi" w:cstheme="majorBidi"/>
                <w:b/>
                <w:bCs/>
                <w:sz w:val="24"/>
                <w:szCs w:val="24"/>
              </w:rPr>
            </w:pPr>
            <w:r>
              <w:rPr>
                <w:rFonts w:asciiTheme="majorBidi" w:hAnsiTheme="majorBidi" w:cstheme="majorBidi"/>
                <w:b/>
                <w:bCs/>
                <w:sz w:val="24"/>
                <w:szCs w:val="24"/>
              </w:rPr>
              <w:t xml:space="preserve">City and </w:t>
            </w:r>
            <w:r w:rsidR="00655827">
              <w:rPr>
                <w:rFonts w:asciiTheme="majorBidi" w:hAnsiTheme="majorBidi" w:cstheme="majorBidi"/>
                <w:b/>
                <w:bCs/>
                <w:sz w:val="24"/>
                <w:szCs w:val="24"/>
              </w:rPr>
              <w:t xml:space="preserve">Country </w:t>
            </w:r>
          </w:p>
        </w:tc>
        <w:tc>
          <w:tcPr>
            <w:tcW w:w="6599" w:type="dxa"/>
          </w:tcPr>
          <w:p w:rsidR="00655827" w:rsidRPr="00460C39" w:rsidRDefault="00BE2059" w:rsidP="00655827">
            <w:pPr>
              <w:rPr>
                <w:rFonts w:asciiTheme="majorBidi" w:hAnsiTheme="majorBidi" w:cstheme="majorBidi"/>
                <w:sz w:val="24"/>
                <w:szCs w:val="24"/>
              </w:rPr>
            </w:pPr>
            <w:r w:rsidRPr="00460C39">
              <w:rPr>
                <w:rFonts w:asciiTheme="majorBidi" w:hAnsiTheme="majorBidi" w:cstheme="majorBidi"/>
                <w:sz w:val="24"/>
                <w:szCs w:val="24"/>
              </w:rPr>
              <w:t xml:space="preserve">Jericho, </w:t>
            </w:r>
            <w:r w:rsidR="00655827" w:rsidRPr="00460C39">
              <w:rPr>
                <w:rFonts w:asciiTheme="majorBidi" w:hAnsiTheme="majorBidi" w:cstheme="majorBidi"/>
                <w:sz w:val="24"/>
                <w:szCs w:val="24"/>
              </w:rPr>
              <w:t>Palestine (PS)</w:t>
            </w:r>
          </w:p>
        </w:tc>
      </w:tr>
      <w:tr w:rsidR="00BF5CB9" w:rsidTr="004B2581">
        <w:tc>
          <w:tcPr>
            <w:tcW w:w="2977" w:type="dxa"/>
          </w:tcPr>
          <w:p w:rsidR="00BF5CB9" w:rsidRPr="00BF5CB9" w:rsidRDefault="00BF5CB9" w:rsidP="00BF5CB9">
            <w:pPr>
              <w:rPr>
                <w:rFonts w:asciiTheme="majorBidi" w:hAnsiTheme="majorBidi" w:cstheme="majorBidi"/>
                <w:b/>
                <w:bCs/>
                <w:sz w:val="24"/>
                <w:szCs w:val="24"/>
              </w:rPr>
            </w:pPr>
            <w:r w:rsidRPr="00BF5CB9">
              <w:rPr>
                <w:rFonts w:asciiTheme="majorBidi" w:hAnsiTheme="majorBidi" w:cstheme="majorBidi"/>
                <w:b/>
                <w:bCs/>
                <w:sz w:val="24"/>
                <w:szCs w:val="24"/>
              </w:rPr>
              <w:t>PIC Number</w:t>
            </w:r>
          </w:p>
        </w:tc>
        <w:tc>
          <w:tcPr>
            <w:tcW w:w="6599" w:type="dxa"/>
          </w:tcPr>
          <w:p w:rsidR="00BF5CB9" w:rsidRPr="00460C39" w:rsidRDefault="00BF5CB9" w:rsidP="00655827">
            <w:pPr>
              <w:rPr>
                <w:rFonts w:asciiTheme="majorBidi" w:hAnsiTheme="majorBidi" w:cstheme="majorBidi"/>
                <w:sz w:val="24"/>
                <w:szCs w:val="24"/>
              </w:rPr>
            </w:pPr>
            <w:r w:rsidRPr="00460C39">
              <w:rPr>
                <w:rFonts w:asciiTheme="majorBidi" w:eastAsia="Times New Roman" w:hAnsiTheme="majorBidi" w:cstheme="majorBidi"/>
                <w:sz w:val="24"/>
                <w:szCs w:val="24"/>
              </w:rPr>
              <w:t>932474484 - HEA\2007\0815</w:t>
            </w:r>
          </w:p>
        </w:tc>
      </w:tr>
      <w:tr w:rsidR="00BF5CB9" w:rsidTr="004B2581">
        <w:tc>
          <w:tcPr>
            <w:tcW w:w="2977" w:type="dxa"/>
            <w:tcBorders>
              <w:bottom w:val="single" w:sz="4" w:space="0" w:color="000000" w:themeColor="text1"/>
            </w:tcBorders>
          </w:tcPr>
          <w:p w:rsidR="00BF5CB9" w:rsidRPr="00BF5CB9" w:rsidRDefault="00B57829" w:rsidP="00B57829">
            <w:pPr>
              <w:rPr>
                <w:rFonts w:asciiTheme="majorBidi" w:hAnsiTheme="majorBidi" w:cstheme="majorBidi"/>
                <w:b/>
                <w:bCs/>
                <w:sz w:val="24"/>
                <w:szCs w:val="24"/>
              </w:rPr>
            </w:pPr>
            <w:r>
              <w:rPr>
                <w:rFonts w:asciiTheme="majorBidi" w:hAnsiTheme="majorBidi" w:cstheme="majorBidi"/>
                <w:b/>
                <w:bCs/>
                <w:sz w:val="24"/>
                <w:szCs w:val="24"/>
              </w:rPr>
              <w:t>Contact info for persons in charge of the project</w:t>
            </w:r>
          </w:p>
        </w:tc>
        <w:tc>
          <w:tcPr>
            <w:tcW w:w="6599" w:type="dxa"/>
            <w:tcBorders>
              <w:bottom w:val="single" w:sz="4" w:space="0" w:color="000000" w:themeColor="text1"/>
            </w:tcBorders>
          </w:tcPr>
          <w:p w:rsidR="004B2581" w:rsidRDefault="00AB4ED4" w:rsidP="00AA468D">
            <w:pPr>
              <w:rPr>
                <w:rFonts w:asciiTheme="majorBidi" w:hAnsiTheme="majorBidi" w:cstheme="majorBidi"/>
                <w:sz w:val="24"/>
                <w:szCs w:val="24"/>
              </w:rPr>
            </w:pPr>
            <w:r w:rsidRPr="00460C39">
              <w:rPr>
                <w:rFonts w:asciiTheme="majorBidi" w:hAnsiTheme="majorBidi" w:cstheme="majorBidi"/>
                <w:sz w:val="24"/>
                <w:szCs w:val="24"/>
              </w:rPr>
              <w:t>Dr. Walid Khalilia</w:t>
            </w:r>
          </w:p>
          <w:p w:rsidR="00460C39" w:rsidRPr="00460C39" w:rsidRDefault="00460C39" w:rsidP="00AA468D">
            <w:pPr>
              <w:rPr>
                <w:rFonts w:asciiTheme="majorBidi" w:hAnsiTheme="majorBidi" w:cstheme="majorBidi"/>
                <w:sz w:val="24"/>
                <w:szCs w:val="24"/>
              </w:rPr>
            </w:pPr>
            <w:r>
              <w:rPr>
                <w:rFonts w:asciiTheme="majorBidi" w:hAnsiTheme="majorBidi" w:cstheme="majorBidi"/>
                <w:sz w:val="24"/>
                <w:szCs w:val="24"/>
              </w:rPr>
              <w:t>khaliliawalid@gmail.com</w:t>
            </w:r>
          </w:p>
        </w:tc>
      </w:tr>
      <w:tr w:rsidR="00BF5CB9" w:rsidTr="004B2581">
        <w:tc>
          <w:tcPr>
            <w:tcW w:w="2977" w:type="dxa"/>
            <w:shd w:val="pct15" w:color="auto" w:fill="auto"/>
          </w:tcPr>
          <w:p w:rsidR="00BF5CB9" w:rsidRPr="00BF5CB9" w:rsidRDefault="00BF5CB9" w:rsidP="00BF5CB9">
            <w:pPr>
              <w:rPr>
                <w:rFonts w:asciiTheme="majorBidi" w:hAnsiTheme="majorBidi" w:cstheme="majorBidi"/>
                <w:b/>
                <w:bCs/>
                <w:sz w:val="24"/>
                <w:szCs w:val="24"/>
              </w:rPr>
            </w:pPr>
            <w:r w:rsidRPr="00BF5CB9">
              <w:rPr>
                <w:rFonts w:asciiTheme="majorBidi" w:hAnsiTheme="majorBidi" w:cstheme="majorBidi"/>
                <w:b/>
                <w:bCs/>
                <w:sz w:val="24"/>
                <w:szCs w:val="24"/>
              </w:rPr>
              <w:t>Project Title</w:t>
            </w:r>
          </w:p>
        </w:tc>
        <w:tc>
          <w:tcPr>
            <w:tcW w:w="6599" w:type="dxa"/>
            <w:shd w:val="pct15" w:color="auto" w:fill="auto"/>
          </w:tcPr>
          <w:p w:rsidR="00BF5CB9" w:rsidRPr="00460C39" w:rsidRDefault="00837328" w:rsidP="00E21210">
            <w:pPr>
              <w:rPr>
                <w:rFonts w:ascii="Berlin Sans FB" w:hAnsi="Berlin Sans FB" w:cstheme="majorBidi"/>
                <w:sz w:val="28"/>
                <w:szCs w:val="28"/>
              </w:rPr>
            </w:pPr>
            <w:r w:rsidRPr="00460C39">
              <w:rPr>
                <w:rFonts w:asciiTheme="majorBidi" w:hAnsiTheme="majorBidi" w:cstheme="majorBidi"/>
                <w:sz w:val="24"/>
                <w:szCs w:val="24"/>
              </w:rPr>
              <w:t>Forensic Science Labs at AL-Istiqlal University (PASS)</w:t>
            </w:r>
          </w:p>
        </w:tc>
      </w:tr>
      <w:tr w:rsidR="00F87878" w:rsidTr="004B2581">
        <w:tc>
          <w:tcPr>
            <w:tcW w:w="2977" w:type="dxa"/>
          </w:tcPr>
          <w:p w:rsidR="00F87878" w:rsidRPr="00BF5CB9" w:rsidRDefault="00F87878" w:rsidP="00BF5CB9">
            <w:pPr>
              <w:rPr>
                <w:rFonts w:asciiTheme="majorBidi" w:hAnsiTheme="majorBidi" w:cstheme="majorBidi"/>
                <w:b/>
                <w:bCs/>
                <w:sz w:val="24"/>
                <w:szCs w:val="24"/>
              </w:rPr>
            </w:pPr>
            <w:r>
              <w:rPr>
                <w:rFonts w:asciiTheme="majorBidi" w:hAnsiTheme="majorBidi" w:cstheme="majorBidi"/>
                <w:b/>
                <w:bCs/>
                <w:sz w:val="24"/>
                <w:szCs w:val="24"/>
              </w:rPr>
              <w:t xml:space="preserve">Key Action </w:t>
            </w:r>
          </w:p>
        </w:tc>
        <w:tc>
          <w:tcPr>
            <w:tcW w:w="6599" w:type="dxa"/>
          </w:tcPr>
          <w:p w:rsidR="00F87878" w:rsidRPr="00460C39" w:rsidRDefault="00AB4ED4" w:rsidP="00B57829">
            <w:pPr>
              <w:rPr>
                <w:rFonts w:asciiTheme="majorBidi" w:hAnsiTheme="majorBidi" w:cstheme="majorBidi"/>
                <w:sz w:val="24"/>
                <w:szCs w:val="24"/>
              </w:rPr>
            </w:pPr>
            <w:r w:rsidRPr="00460C39">
              <w:rPr>
                <w:rFonts w:asciiTheme="majorBidi" w:hAnsiTheme="majorBidi" w:cstheme="majorBidi"/>
                <w:sz w:val="24"/>
                <w:szCs w:val="24"/>
              </w:rPr>
              <w:t>Cooperation for innovation and the exchange of good practices</w:t>
            </w:r>
          </w:p>
        </w:tc>
      </w:tr>
      <w:tr w:rsidR="00F87878" w:rsidTr="004B2581">
        <w:tc>
          <w:tcPr>
            <w:tcW w:w="2977" w:type="dxa"/>
          </w:tcPr>
          <w:p w:rsidR="00F87878" w:rsidRPr="00BF5CB9" w:rsidRDefault="00F87878" w:rsidP="00BF5CB9">
            <w:pPr>
              <w:rPr>
                <w:rFonts w:asciiTheme="majorBidi" w:hAnsiTheme="majorBidi" w:cstheme="majorBidi"/>
                <w:b/>
                <w:bCs/>
                <w:sz w:val="24"/>
                <w:szCs w:val="24"/>
              </w:rPr>
            </w:pPr>
            <w:r>
              <w:rPr>
                <w:rFonts w:asciiTheme="majorBidi" w:hAnsiTheme="majorBidi" w:cstheme="majorBidi"/>
                <w:b/>
                <w:bCs/>
                <w:sz w:val="24"/>
                <w:szCs w:val="24"/>
              </w:rPr>
              <w:t>Scope</w:t>
            </w:r>
          </w:p>
        </w:tc>
        <w:tc>
          <w:tcPr>
            <w:tcW w:w="6599" w:type="dxa"/>
          </w:tcPr>
          <w:p w:rsidR="00F87878" w:rsidRPr="00460C39" w:rsidRDefault="00AB4ED4" w:rsidP="00B57829">
            <w:pPr>
              <w:rPr>
                <w:rFonts w:asciiTheme="majorBidi" w:hAnsiTheme="majorBidi" w:cstheme="majorBidi"/>
                <w:sz w:val="24"/>
                <w:szCs w:val="24"/>
              </w:rPr>
            </w:pPr>
            <w:r w:rsidRPr="00460C39">
              <w:rPr>
                <w:rFonts w:asciiTheme="majorBidi" w:hAnsiTheme="majorBidi" w:cstheme="majorBidi"/>
                <w:sz w:val="24"/>
                <w:szCs w:val="24"/>
              </w:rPr>
              <w:t>Capacity building in the field of higher education</w:t>
            </w:r>
          </w:p>
        </w:tc>
      </w:tr>
      <w:tr w:rsidR="00F87878" w:rsidTr="004B2581">
        <w:tc>
          <w:tcPr>
            <w:tcW w:w="2977" w:type="dxa"/>
          </w:tcPr>
          <w:p w:rsidR="00F87878" w:rsidRDefault="007E6A78" w:rsidP="00BF5CB9">
            <w:pPr>
              <w:rPr>
                <w:rFonts w:asciiTheme="majorBidi" w:hAnsiTheme="majorBidi" w:cstheme="majorBidi"/>
                <w:b/>
                <w:bCs/>
                <w:sz w:val="24"/>
                <w:szCs w:val="24"/>
              </w:rPr>
            </w:pPr>
            <w:r>
              <w:rPr>
                <w:rFonts w:asciiTheme="majorBidi" w:hAnsiTheme="majorBidi" w:cstheme="majorBidi"/>
                <w:b/>
                <w:bCs/>
                <w:sz w:val="24"/>
                <w:szCs w:val="24"/>
              </w:rPr>
              <w:t xml:space="preserve">Working </w:t>
            </w:r>
            <w:r w:rsidR="00F87878">
              <w:rPr>
                <w:rFonts w:asciiTheme="majorBidi" w:hAnsiTheme="majorBidi" w:cstheme="majorBidi"/>
                <w:b/>
                <w:bCs/>
                <w:sz w:val="24"/>
                <w:szCs w:val="24"/>
              </w:rPr>
              <w:t>LANGUAGES</w:t>
            </w:r>
          </w:p>
        </w:tc>
        <w:tc>
          <w:tcPr>
            <w:tcW w:w="6599" w:type="dxa"/>
          </w:tcPr>
          <w:p w:rsidR="00F87878" w:rsidRPr="00460C39" w:rsidRDefault="00AB4ED4" w:rsidP="00F87878">
            <w:pPr>
              <w:rPr>
                <w:rFonts w:asciiTheme="majorBidi" w:hAnsiTheme="majorBidi" w:cstheme="majorBidi"/>
                <w:sz w:val="24"/>
                <w:szCs w:val="24"/>
              </w:rPr>
            </w:pPr>
            <w:r w:rsidRPr="00460C39">
              <w:rPr>
                <w:rFonts w:asciiTheme="majorBidi" w:hAnsiTheme="majorBidi" w:cstheme="majorBidi"/>
                <w:sz w:val="24"/>
                <w:szCs w:val="24"/>
              </w:rPr>
              <w:t>English</w:t>
            </w:r>
          </w:p>
        </w:tc>
      </w:tr>
    </w:tbl>
    <w:tbl>
      <w:tblPr>
        <w:tblStyle w:val="TableGrid"/>
        <w:tblpPr w:leftFromText="180" w:rightFromText="180" w:vertAnchor="text" w:horzAnchor="margin" w:tblpY="235"/>
        <w:tblW w:w="0" w:type="auto"/>
        <w:tblCellMar>
          <w:top w:w="72" w:type="dxa"/>
          <w:left w:w="187" w:type="dxa"/>
          <w:bottom w:w="72" w:type="dxa"/>
          <w:right w:w="187" w:type="dxa"/>
        </w:tblCellMar>
        <w:tblLook w:val="04A0"/>
      </w:tblPr>
      <w:tblGrid>
        <w:gridCol w:w="9576"/>
      </w:tblGrid>
      <w:tr w:rsidR="00515F5F" w:rsidTr="00515F5F">
        <w:trPr>
          <w:trHeight w:val="525"/>
        </w:trPr>
        <w:tc>
          <w:tcPr>
            <w:tcW w:w="9576" w:type="dxa"/>
            <w:tcBorders>
              <w:bottom w:val="single" w:sz="4" w:space="0" w:color="auto"/>
            </w:tcBorders>
            <w:shd w:val="clear" w:color="auto" w:fill="BFBFBF" w:themeFill="background1" w:themeFillShade="BF"/>
            <w:vAlign w:val="center"/>
          </w:tcPr>
          <w:p w:rsidR="00515F5F" w:rsidRDefault="00515F5F" w:rsidP="00515F5F">
            <w:pPr>
              <w:rPr>
                <w:b/>
                <w:bCs/>
                <w:sz w:val="32"/>
                <w:szCs w:val="32"/>
              </w:rPr>
            </w:pPr>
            <w:r>
              <w:rPr>
                <w:b/>
                <w:bCs/>
                <w:sz w:val="32"/>
                <w:szCs w:val="32"/>
              </w:rPr>
              <w:t>General Overview of the Project</w:t>
            </w:r>
          </w:p>
        </w:tc>
      </w:tr>
      <w:tr w:rsidR="00515F5F" w:rsidTr="00515F5F">
        <w:trPr>
          <w:trHeight w:val="1997"/>
        </w:trPr>
        <w:tc>
          <w:tcPr>
            <w:tcW w:w="9576" w:type="dxa"/>
            <w:tcBorders>
              <w:top w:val="single" w:sz="4" w:space="0" w:color="auto"/>
            </w:tcBorders>
            <w:tcMar>
              <w:top w:w="144" w:type="dxa"/>
              <w:left w:w="288" w:type="dxa"/>
              <w:bottom w:w="144" w:type="dxa"/>
              <w:right w:w="288" w:type="dxa"/>
            </w:tcMar>
          </w:tcPr>
          <w:p w:rsidR="00515F5F" w:rsidRDefault="00515F5F" w:rsidP="00515F5F">
            <w:pPr>
              <w:jc w:val="both"/>
              <w:rPr>
                <w:rFonts w:ascii="Cambria" w:hAnsi="Cambria" w:cstheme="majorBidi"/>
                <w:sz w:val="24"/>
                <w:szCs w:val="24"/>
              </w:rPr>
            </w:pPr>
          </w:p>
          <w:p w:rsidR="00AD19BD" w:rsidRPr="001C712D" w:rsidRDefault="00515F5F" w:rsidP="001C712D">
            <w:pPr>
              <w:pStyle w:val="Default"/>
              <w:spacing w:line="360" w:lineRule="auto"/>
              <w:jc w:val="both"/>
              <w:rPr>
                <w:rFonts w:ascii="Cambria" w:hAnsi="Cambria" w:cs="Cambria"/>
                <w:sz w:val="23"/>
                <w:szCs w:val="23"/>
                <w:rtl/>
              </w:rPr>
            </w:pPr>
            <w:r w:rsidRPr="00515F5F">
              <w:rPr>
                <w:rFonts w:ascii="Cambria" w:hAnsi="Cambria" w:cstheme="majorBidi"/>
              </w:rPr>
              <w:t xml:space="preserve"> </w:t>
            </w:r>
            <w:r w:rsidR="00AD19BD">
              <w:rPr>
                <w:sz w:val="23"/>
                <w:szCs w:val="23"/>
              </w:rPr>
              <w:t xml:space="preserve"> Forensic Science is the study and Application of all Physical and Applied Sciences for the Purpose of justice. </w:t>
            </w:r>
            <w:r w:rsidR="00AD19BD" w:rsidRPr="00B342FE">
              <w:rPr>
                <w:rFonts w:ascii="Cambria" w:hAnsi="Cambria" w:cs="Cambria"/>
                <w:sz w:val="23"/>
                <w:szCs w:val="23"/>
              </w:rPr>
              <w:t>The role and scope of forensic science is wide and varied. Forensic science of the today covers almost every aspect of the day to day life. Howe</w:t>
            </w:r>
            <w:r w:rsidR="00AD19BD">
              <w:rPr>
                <w:rFonts w:ascii="Cambria" w:hAnsi="Cambria" w:cs="Cambria"/>
                <w:sz w:val="23"/>
                <w:szCs w:val="23"/>
              </w:rPr>
              <w:t>ver, use of forensic in Pa</w:t>
            </w:r>
            <w:r w:rsidR="00AD19BD">
              <w:rPr>
                <w:rFonts w:ascii="Cambria" w:hAnsi="Cambria"/>
                <w:sz w:val="23"/>
                <w:szCs w:val="23"/>
              </w:rPr>
              <w:t>lestine</w:t>
            </w:r>
            <w:r w:rsidR="00AD19BD" w:rsidRPr="00B342FE">
              <w:rPr>
                <w:rFonts w:ascii="Cambria" w:hAnsi="Cambria" w:cs="Cambria"/>
                <w:sz w:val="23"/>
                <w:szCs w:val="23"/>
              </w:rPr>
              <w:t xml:space="preserve"> has rema</w:t>
            </w:r>
            <w:r w:rsidR="00AD19BD">
              <w:rPr>
                <w:rFonts w:ascii="Cambria" w:hAnsi="Cambria" w:cs="Cambria"/>
                <w:sz w:val="23"/>
                <w:szCs w:val="23"/>
              </w:rPr>
              <w:t>ined rather rudimentary and low</w:t>
            </w:r>
            <w:r w:rsidR="00AD19BD" w:rsidRPr="00B342FE">
              <w:rPr>
                <w:rFonts w:ascii="Cambria" w:hAnsi="Cambria" w:cs="Cambria"/>
                <w:sz w:val="23"/>
                <w:szCs w:val="23"/>
              </w:rPr>
              <w:t xml:space="preserve">. </w:t>
            </w:r>
            <w:r w:rsidR="00AD19BD">
              <w:rPr>
                <w:rFonts w:ascii="Cambria" w:hAnsi="Cambria" w:cs="Cambria"/>
                <w:sz w:val="23"/>
                <w:szCs w:val="23"/>
              </w:rPr>
              <w:t>Al-Istiqlal University</w:t>
            </w:r>
            <w:r w:rsidR="00AD19BD" w:rsidRPr="00B342FE">
              <w:rPr>
                <w:rFonts w:ascii="Cambria" w:hAnsi="Cambria" w:cs="Cambria"/>
                <w:sz w:val="23"/>
                <w:szCs w:val="23"/>
              </w:rPr>
              <w:t xml:space="preserve"> had consistently viewed this situation with concern as it has a direct impact on the quality of criminal investigations as well as criminal justice. Keeping in view the importance of Forensic Sciences in Criminal investigations and Criminal justice, </w:t>
            </w:r>
            <w:r w:rsidR="00AD19BD">
              <w:rPr>
                <w:rFonts w:ascii="Cambria" w:hAnsi="Cambria" w:cs="Cambria"/>
                <w:sz w:val="23"/>
                <w:szCs w:val="23"/>
              </w:rPr>
              <w:t xml:space="preserve">Al-Istiqlal University </w:t>
            </w:r>
            <w:r w:rsidR="00AD19BD" w:rsidRPr="00B342FE">
              <w:rPr>
                <w:rFonts w:ascii="Cambria" w:hAnsi="Cambria" w:cs="Cambria"/>
                <w:sz w:val="23"/>
                <w:szCs w:val="23"/>
              </w:rPr>
              <w:t>establish</w:t>
            </w:r>
            <w:r w:rsidR="001C712D">
              <w:rPr>
                <w:rFonts w:ascii="Cambria" w:hAnsi="Cambria" w:cs="Cambria"/>
                <w:sz w:val="23"/>
                <w:szCs w:val="23"/>
              </w:rPr>
              <w:t>ed</w:t>
            </w:r>
            <w:r w:rsidR="00AD19BD" w:rsidRPr="00B342FE">
              <w:rPr>
                <w:rFonts w:ascii="Cambria" w:hAnsi="Cambria" w:cs="Cambria"/>
                <w:sz w:val="23"/>
                <w:szCs w:val="23"/>
              </w:rPr>
              <w:t xml:space="preserve"> a Forensic Science Facility at </w:t>
            </w:r>
            <w:r w:rsidR="00AD19BD">
              <w:rPr>
                <w:rFonts w:ascii="Cambria" w:hAnsi="Cambria" w:cs="Cambria"/>
                <w:sz w:val="23"/>
                <w:szCs w:val="23"/>
              </w:rPr>
              <w:t>Jericho</w:t>
            </w:r>
            <w:r w:rsidR="00AD19BD" w:rsidRPr="00B342FE">
              <w:rPr>
                <w:rFonts w:ascii="Cambria" w:hAnsi="Cambria" w:cs="Cambria"/>
                <w:sz w:val="23"/>
                <w:szCs w:val="23"/>
              </w:rPr>
              <w:t xml:space="preserve"> under the project tilted </w:t>
            </w:r>
            <w:r w:rsidR="00AD19BD" w:rsidRPr="001C712D">
              <w:rPr>
                <w:rFonts w:ascii="Cambria" w:hAnsi="Cambria" w:cs="Cambria"/>
                <w:i/>
                <w:iCs/>
                <w:sz w:val="23"/>
                <w:szCs w:val="23"/>
              </w:rPr>
              <w:t xml:space="preserve">”Establishment of Forensic Science Laboratory at </w:t>
            </w:r>
            <w:r w:rsidR="00AD19BD" w:rsidRPr="001C712D">
              <w:rPr>
                <w:rFonts w:ascii="Cambria" w:hAnsi="Cambria" w:cs="Cambria"/>
                <w:sz w:val="23"/>
                <w:szCs w:val="23"/>
              </w:rPr>
              <w:t>Al-Istiqlal University</w:t>
            </w:r>
            <w:r w:rsidR="00AD19BD" w:rsidRPr="001C712D">
              <w:rPr>
                <w:rFonts w:ascii="Cambria" w:hAnsi="Cambria" w:cs="Cambria"/>
                <w:i/>
                <w:iCs/>
                <w:sz w:val="23"/>
                <w:szCs w:val="23"/>
              </w:rPr>
              <w:t>”</w:t>
            </w:r>
            <w:r w:rsidR="00AD19BD" w:rsidRPr="001C712D">
              <w:rPr>
                <w:rFonts w:ascii="Cambria" w:hAnsi="Cambria" w:cs="Cambria"/>
                <w:sz w:val="23"/>
                <w:szCs w:val="23"/>
              </w:rPr>
              <w:t>.</w:t>
            </w:r>
            <w:r w:rsidR="00AD19BD" w:rsidRPr="00B342FE">
              <w:rPr>
                <w:rFonts w:ascii="Cambria" w:hAnsi="Cambria" w:cs="Cambria"/>
                <w:sz w:val="23"/>
                <w:szCs w:val="23"/>
              </w:rPr>
              <w:t xml:space="preserve"> This project is landmark and unique in its character. It is a part of the projects being undertaken by </w:t>
            </w:r>
            <w:r w:rsidR="00AD19BD">
              <w:rPr>
                <w:rFonts w:ascii="Cambria" w:hAnsi="Cambria" w:cs="Cambria"/>
                <w:sz w:val="23"/>
                <w:szCs w:val="23"/>
              </w:rPr>
              <w:t xml:space="preserve">Al-Istiqlal University </w:t>
            </w:r>
            <w:r w:rsidR="00AD19BD" w:rsidRPr="00B342FE">
              <w:rPr>
                <w:rFonts w:ascii="Cambria" w:hAnsi="Cambria" w:cs="Cambria"/>
                <w:sz w:val="23"/>
                <w:szCs w:val="23"/>
              </w:rPr>
              <w:t>for the establishment of a modern and</w:t>
            </w:r>
            <w:r w:rsidR="00AD19BD">
              <w:rPr>
                <w:rFonts w:ascii="Cambria" w:hAnsi="Cambria" w:cs="Cambria"/>
                <w:sz w:val="23"/>
                <w:szCs w:val="23"/>
              </w:rPr>
              <w:t xml:space="preserve"> unified Forensic Science Faculty </w:t>
            </w:r>
            <w:r w:rsidR="00AD19BD" w:rsidRPr="00B342FE">
              <w:rPr>
                <w:rFonts w:ascii="Cambria" w:hAnsi="Cambria" w:cs="Cambria"/>
                <w:sz w:val="23"/>
                <w:szCs w:val="23"/>
              </w:rPr>
              <w:t xml:space="preserve">in </w:t>
            </w:r>
            <w:r w:rsidR="00AD19BD">
              <w:rPr>
                <w:rFonts w:ascii="Cambria" w:hAnsi="Cambria" w:cs="Cambria"/>
                <w:sz w:val="23"/>
                <w:szCs w:val="23"/>
              </w:rPr>
              <w:t>Al-Istiqlal University</w:t>
            </w:r>
            <w:r w:rsidR="00AD19BD" w:rsidRPr="00B342FE">
              <w:rPr>
                <w:rFonts w:ascii="Cambria" w:hAnsi="Cambria" w:cs="Cambria"/>
                <w:sz w:val="23"/>
                <w:szCs w:val="23"/>
              </w:rPr>
              <w:t>. The overall purpose of this project wa</w:t>
            </w:r>
            <w:r w:rsidR="00AD19BD">
              <w:rPr>
                <w:rFonts w:ascii="Cambria" w:hAnsi="Cambria" w:cs="Cambria"/>
                <w:sz w:val="23"/>
                <w:szCs w:val="23"/>
              </w:rPr>
              <w:t xml:space="preserve">s to establish an international </w:t>
            </w:r>
            <w:r w:rsidR="00AD19BD" w:rsidRPr="00B342FE">
              <w:rPr>
                <w:rFonts w:ascii="Cambria" w:hAnsi="Cambria"/>
                <w:sz w:val="23"/>
                <w:szCs w:val="23"/>
              </w:rPr>
              <w:t xml:space="preserve">standard, well quipped, state of the art, full service forensic science laboratory at </w:t>
            </w:r>
            <w:r w:rsidR="00AD19BD">
              <w:rPr>
                <w:rFonts w:ascii="Cambria" w:hAnsi="Cambria" w:cs="Cambria"/>
                <w:sz w:val="23"/>
                <w:szCs w:val="23"/>
              </w:rPr>
              <w:t>Al-Istiqlal University</w:t>
            </w:r>
            <w:r w:rsidR="00AD19BD" w:rsidRPr="00B342FE">
              <w:rPr>
                <w:rFonts w:ascii="Cambria" w:hAnsi="Cambria"/>
                <w:sz w:val="23"/>
                <w:szCs w:val="23"/>
              </w:rPr>
              <w:t xml:space="preserve">. On its operation, the laboratory will support criminal investigations by providing forensic analysis in the following fields of forensic investigations </w:t>
            </w:r>
            <w:r w:rsidR="00AD19BD" w:rsidRPr="00A9100E">
              <w:rPr>
                <w:rFonts w:ascii="Cambria" w:hAnsi="Cambria" w:cs="Cambria"/>
                <w:i/>
                <w:iCs/>
                <w:sz w:val="23"/>
                <w:szCs w:val="23"/>
              </w:rPr>
              <w:t xml:space="preserve">(i) </w:t>
            </w:r>
            <w:r w:rsidR="00AD19BD" w:rsidRPr="00A9100E">
              <w:rPr>
                <w:rFonts w:ascii="Cambria" w:hAnsi="Cambria" w:cs="Cambria"/>
                <w:sz w:val="23"/>
                <w:szCs w:val="23"/>
              </w:rPr>
              <w:t xml:space="preserve">Toxicology, </w:t>
            </w:r>
            <w:r w:rsidR="00AD19BD" w:rsidRPr="00A9100E">
              <w:rPr>
                <w:rFonts w:ascii="Cambria" w:hAnsi="Cambria" w:cs="Cambria"/>
                <w:i/>
                <w:iCs/>
                <w:sz w:val="23"/>
                <w:szCs w:val="23"/>
              </w:rPr>
              <w:t xml:space="preserve">(ii) </w:t>
            </w:r>
            <w:r w:rsidR="00AD19BD" w:rsidRPr="00A9100E">
              <w:rPr>
                <w:rFonts w:ascii="Cambria" w:hAnsi="Cambria" w:cs="Cambria"/>
                <w:sz w:val="23"/>
                <w:szCs w:val="23"/>
              </w:rPr>
              <w:t xml:space="preserve">Narcotics, </w:t>
            </w:r>
            <w:r w:rsidR="00AD19BD" w:rsidRPr="00A9100E">
              <w:rPr>
                <w:rFonts w:ascii="Cambria" w:hAnsi="Cambria" w:cs="Cambria"/>
                <w:i/>
                <w:iCs/>
                <w:sz w:val="23"/>
                <w:szCs w:val="23"/>
              </w:rPr>
              <w:t xml:space="preserve">(iii) DNA </w:t>
            </w:r>
            <w:r w:rsidR="00AD19BD" w:rsidRPr="00A9100E">
              <w:rPr>
                <w:rFonts w:ascii="Cambria" w:hAnsi="Cambria" w:cs="Cambria"/>
                <w:sz w:val="23"/>
                <w:szCs w:val="23"/>
              </w:rPr>
              <w:t xml:space="preserve">and Serology, </w:t>
            </w:r>
            <w:r w:rsidR="00AD19BD" w:rsidRPr="00A9100E">
              <w:rPr>
                <w:rFonts w:ascii="Cambria" w:hAnsi="Cambria" w:cs="Cambria"/>
                <w:i/>
                <w:iCs/>
                <w:sz w:val="23"/>
                <w:szCs w:val="23"/>
              </w:rPr>
              <w:t xml:space="preserve">(iv) </w:t>
            </w:r>
            <w:r w:rsidR="00AD19BD" w:rsidRPr="00A9100E">
              <w:rPr>
                <w:rFonts w:ascii="Cambria" w:hAnsi="Cambria" w:cs="Cambria"/>
                <w:sz w:val="23"/>
                <w:szCs w:val="23"/>
              </w:rPr>
              <w:t xml:space="preserve">Fire Arms &amp; Tool Marks, </w:t>
            </w:r>
            <w:r w:rsidR="00AD19BD" w:rsidRPr="00A9100E">
              <w:rPr>
                <w:rFonts w:ascii="Cambria" w:hAnsi="Cambria" w:cs="Cambria"/>
                <w:i/>
                <w:iCs/>
                <w:sz w:val="23"/>
                <w:szCs w:val="23"/>
              </w:rPr>
              <w:t xml:space="preserve">(v) </w:t>
            </w:r>
            <w:r w:rsidR="00AD19BD" w:rsidRPr="00A9100E">
              <w:rPr>
                <w:rFonts w:ascii="Cambria" w:hAnsi="Cambria" w:cs="Cambria"/>
                <w:sz w:val="23"/>
                <w:szCs w:val="23"/>
              </w:rPr>
              <w:t xml:space="preserve">Questioned Documents, </w:t>
            </w:r>
            <w:r w:rsidR="00AD19BD" w:rsidRPr="00A9100E">
              <w:rPr>
                <w:rFonts w:ascii="Cambria" w:hAnsi="Cambria" w:cs="Cambria"/>
                <w:i/>
                <w:iCs/>
                <w:sz w:val="23"/>
                <w:szCs w:val="23"/>
              </w:rPr>
              <w:t xml:space="preserve">(vi) </w:t>
            </w:r>
            <w:r w:rsidR="00AD19BD" w:rsidRPr="00A9100E">
              <w:rPr>
                <w:rFonts w:ascii="Cambria" w:hAnsi="Cambria" w:cs="Cambria"/>
                <w:sz w:val="23"/>
                <w:szCs w:val="23"/>
              </w:rPr>
              <w:t xml:space="preserve">Latent Finger Prints, </w:t>
            </w:r>
            <w:r w:rsidR="00AD19BD" w:rsidRPr="00A9100E">
              <w:rPr>
                <w:rFonts w:ascii="Cambria" w:hAnsi="Cambria" w:cs="Cambria"/>
                <w:i/>
                <w:iCs/>
                <w:sz w:val="23"/>
                <w:szCs w:val="23"/>
              </w:rPr>
              <w:t xml:space="preserve">(vii) </w:t>
            </w:r>
            <w:r w:rsidR="00AD19BD" w:rsidRPr="00A9100E">
              <w:rPr>
                <w:rFonts w:ascii="Cambria" w:hAnsi="Cambria" w:cs="Cambria"/>
                <w:sz w:val="23"/>
                <w:szCs w:val="23"/>
              </w:rPr>
              <w:t xml:space="preserve">Pathology / Histology, </w:t>
            </w:r>
            <w:r w:rsidR="00AD19BD" w:rsidRPr="00A9100E">
              <w:rPr>
                <w:rFonts w:ascii="Cambria" w:hAnsi="Cambria" w:cs="Cambria"/>
                <w:i/>
                <w:iCs/>
                <w:sz w:val="23"/>
                <w:szCs w:val="23"/>
              </w:rPr>
              <w:t xml:space="preserve">(vii) </w:t>
            </w:r>
            <w:r w:rsidR="00AD19BD" w:rsidRPr="00A9100E">
              <w:rPr>
                <w:rFonts w:ascii="Cambria" w:hAnsi="Cambria" w:cs="Cambria"/>
                <w:sz w:val="23"/>
                <w:szCs w:val="23"/>
              </w:rPr>
              <w:t xml:space="preserve">Forensic Photography, </w:t>
            </w:r>
            <w:r w:rsidR="00AD19BD" w:rsidRPr="00A9100E">
              <w:rPr>
                <w:rFonts w:ascii="Cambria" w:hAnsi="Cambria" w:cs="Cambria"/>
                <w:i/>
                <w:iCs/>
                <w:sz w:val="23"/>
                <w:szCs w:val="23"/>
              </w:rPr>
              <w:t xml:space="preserve">(viii) </w:t>
            </w:r>
            <w:r w:rsidR="00AD19BD" w:rsidRPr="00A9100E">
              <w:rPr>
                <w:rFonts w:ascii="Cambria" w:hAnsi="Cambria" w:cs="Cambria"/>
                <w:sz w:val="23"/>
                <w:szCs w:val="23"/>
              </w:rPr>
              <w:t xml:space="preserve">Trace Chemistry, </w:t>
            </w:r>
            <w:r w:rsidR="00AD19BD" w:rsidRPr="00A9100E">
              <w:rPr>
                <w:rFonts w:ascii="Cambria" w:hAnsi="Cambria" w:cs="Cambria"/>
                <w:i/>
                <w:iCs/>
                <w:sz w:val="23"/>
                <w:szCs w:val="23"/>
              </w:rPr>
              <w:t xml:space="preserve">(ix) </w:t>
            </w:r>
            <w:r w:rsidR="00AD19BD" w:rsidRPr="00A9100E">
              <w:rPr>
                <w:rFonts w:ascii="Cambria" w:hAnsi="Cambria" w:cs="Cambria"/>
                <w:sz w:val="23"/>
                <w:szCs w:val="23"/>
              </w:rPr>
              <w:t xml:space="preserve">Crime Scene Specialist, </w:t>
            </w:r>
            <w:r w:rsidR="00AD19BD" w:rsidRPr="00A9100E">
              <w:rPr>
                <w:rFonts w:ascii="Cambria" w:hAnsi="Cambria" w:cs="Cambria"/>
                <w:i/>
                <w:iCs/>
                <w:sz w:val="23"/>
                <w:szCs w:val="23"/>
              </w:rPr>
              <w:t xml:space="preserve">(x) </w:t>
            </w:r>
            <w:r w:rsidR="00AD19BD" w:rsidRPr="00A9100E">
              <w:rPr>
                <w:rFonts w:ascii="Cambria" w:hAnsi="Cambria" w:cs="Cambria"/>
                <w:sz w:val="23"/>
                <w:szCs w:val="23"/>
              </w:rPr>
              <w:t xml:space="preserve">Death Scene Investigation, </w:t>
            </w:r>
            <w:r w:rsidR="00AD19BD" w:rsidRPr="00A9100E">
              <w:rPr>
                <w:rFonts w:ascii="Cambria" w:hAnsi="Cambria" w:cs="Cambria"/>
                <w:i/>
                <w:iCs/>
                <w:sz w:val="23"/>
                <w:szCs w:val="23"/>
              </w:rPr>
              <w:t xml:space="preserve">(xi) </w:t>
            </w:r>
            <w:r w:rsidR="00AD19BD" w:rsidRPr="00A9100E">
              <w:rPr>
                <w:rFonts w:ascii="Cambria" w:hAnsi="Cambria" w:cs="Cambria"/>
                <w:sz w:val="23"/>
                <w:szCs w:val="23"/>
              </w:rPr>
              <w:t xml:space="preserve">Computer Forensic, </w:t>
            </w:r>
            <w:r w:rsidR="00AD19BD" w:rsidRPr="00A9100E">
              <w:rPr>
                <w:rFonts w:ascii="Cambria" w:hAnsi="Cambria" w:cs="Cambria"/>
                <w:i/>
                <w:iCs/>
                <w:sz w:val="23"/>
                <w:szCs w:val="23"/>
              </w:rPr>
              <w:t xml:space="preserve">(xii) </w:t>
            </w:r>
            <w:r w:rsidR="00AD19BD" w:rsidRPr="00A9100E">
              <w:rPr>
                <w:rFonts w:ascii="Cambria" w:hAnsi="Cambria" w:cs="Cambria"/>
                <w:sz w:val="23"/>
                <w:szCs w:val="23"/>
              </w:rPr>
              <w:t xml:space="preserve">Polygraph, </w:t>
            </w:r>
            <w:r w:rsidR="00AD19BD" w:rsidRPr="00A9100E">
              <w:rPr>
                <w:rFonts w:ascii="Cambria" w:hAnsi="Cambria" w:cs="Cambria"/>
                <w:i/>
                <w:iCs/>
                <w:sz w:val="23"/>
                <w:szCs w:val="23"/>
              </w:rPr>
              <w:t xml:space="preserve">(xiii) </w:t>
            </w:r>
            <w:r w:rsidR="00AD19BD" w:rsidRPr="00A9100E">
              <w:rPr>
                <w:rFonts w:ascii="Cambria" w:hAnsi="Cambria" w:cs="Cambria"/>
                <w:sz w:val="23"/>
                <w:szCs w:val="23"/>
              </w:rPr>
              <w:t xml:space="preserve">Audiovisual, </w:t>
            </w:r>
            <w:r w:rsidR="00AD19BD" w:rsidRPr="00A9100E">
              <w:rPr>
                <w:rFonts w:ascii="Cambria" w:hAnsi="Cambria" w:cs="Cambria"/>
                <w:i/>
                <w:iCs/>
                <w:sz w:val="23"/>
                <w:szCs w:val="23"/>
              </w:rPr>
              <w:t xml:space="preserve">(xiv) </w:t>
            </w:r>
            <w:r w:rsidR="00AD19BD" w:rsidRPr="00A9100E">
              <w:rPr>
                <w:rFonts w:ascii="Cambria" w:hAnsi="Cambria" w:cs="Cambria"/>
                <w:sz w:val="23"/>
                <w:szCs w:val="23"/>
              </w:rPr>
              <w:t xml:space="preserve">Forensic Training and </w:t>
            </w:r>
            <w:r w:rsidR="00AD19BD" w:rsidRPr="00A9100E">
              <w:rPr>
                <w:rFonts w:ascii="Cambria" w:hAnsi="Cambria" w:cs="Cambria"/>
                <w:i/>
                <w:iCs/>
                <w:sz w:val="23"/>
                <w:szCs w:val="23"/>
              </w:rPr>
              <w:t xml:space="preserve">(xv) </w:t>
            </w:r>
            <w:r w:rsidR="00AD19BD" w:rsidRPr="00A9100E">
              <w:rPr>
                <w:rFonts w:ascii="Cambria" w:hAnsi="Cambria" w:cs="Cambria"/>
                <w:sz w:val="23"/>
                <w:szCs w:val="23"/>
              </w:rPr>
              <w:t>Forensic Data Base Development. It will also assist the</w:t>
            </w:r>
            <w:r w:rsidR="00AD19BD" w:rsidRPr="00B342FE">
              <w:rPr>
                <w:rFonts w:ascii="Cambria" w:hAnsi="Cambria" w:cs="Cambria"/>
                <w:sz w:val="23"/>
                <w:szCs w:val="23"/>
              </w:rPr>
              <w:t xml:space="preserve"> legal matters of interest.</w:t>
            </w:r>
          </w:p>
          <w:p w:rsidR="00AD19BD" w:rsidRDefault="00AD19BD" w:rsidP="00AD19BD">
            <w:pPr>
              <w:spacing w:before="150" w:after="150" w:line="36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8A6C36">
              <w:rPr>
                <w:rFonts w:ascii="Times New Roman" w:eastAsia="Times New Roman" w:hAnsi="Times New Roman" w:cs="Times New Roman"/>
                <w:sz w:val="24"/>
                <w:szCs w:val="24"/>
              </w:rPr>
              <w:t xml:space="preserve">he establishment of governing institutions in Palestine and the improvement and </w:t>
            </w:r>
            <w:r w:rsidRPr="008A6C36">
              <w:rPr>
                <w:rFonts w:ascii="Times New Roman" w:eastAsia="Times New Roman" w:hAnsi="Times New Roman" w:cs="Times New Roman"/>
                <w:sz w:val="24"/>
                <w:szCs w:val="24"/>
              </w:rPr>
              <w:lastRenderedPageBreak/>
              <w:t>strengthening of their work is one of the priorities that have been approved by all national plans issued by the Palestinian National Authority since 1994. Palestinian Institutions have reached an advanced level in the provision of services and that Palestine had surpassed the minimum level required for the state's de</w:t>
            </w:r>
            <w:r>
              <w:rPr>
                <w:rFonts w:ascii="Times New Roman" w:eastAsia="Times New Roman" w:hAnsi="Times New Roman" w:cs="Times New Roman"/>
                <w:sz w:val="24"/>
                <w:szCs w:val="24"/>
              </w:rPr>
              <w:t>velopment.</w:t>
            </w:r>
          </w:p>
          <w:p w:rsidR="00AD19BD" w:rsidRPr="00B567A1" w:rsidRDefault="00AD19BD" w:rsidP="00AD19BD">
            <w:pPr>
              <w:spacing w:before="150" w:after="150" w:line="36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8A6C36">
              <w:rPr>
                <w:rFonts w:ascii="Times New Roman" w:eastAsia="Times New Roman" w:hAnsi="Times New Roman" w:cs="Times New Roman"/>
                <w:sz w:val="24"/>
                <w:szCs w:val="24"/>
              </w:rPr>
              <w:t>here is an interdependent link between security and justice in that just as security cannot be achieved without justice; justice cannot be achieved without security.</w:t>
            </w:r>
          </w:p>
          <w:p w:rsidR="00AD19BD" w:rsidRDefault="00AD19BD" w:rsidP="00AD19BD">
            <w:pPr>
              <w:pStyle w:val="NormalWeb"/>
              <w:spacing w:line="360" w:lineRule="auto"/>
              <w:jc w:val="both"/>
            </w:pPr>
            <w:r>
              <w:t>The overriding goal of the project is to provide</w:t>
            </w:r>
            <w:r w:rsidR="009D587C">
              <w:t xml:space="preserve"> </w:t>
            </w:r>
            <w:r>
              <w:t>Palestine with high quality and reliable forensic services. Forensic science and forensic medicine services play an integral part in the administration of justice by providing reliable and probative evidence regarding criminal activity. The model for all services will be based upon internationally accepted best practices. Upon completion, the university; the ministries and the Palestinian people will have access to reliable, sustainable and transparent forensic services. </w:t>
            </w:r>
          </w:p>
          <w:p w:rsidR="00AD19BD" w:rsidRDefault="00AD19BD" w:rsidP="00AD19BD">
            <w:pPr>
              <w:spacing w:before="150" w:after="150" w:line="360" w:lineRule="auto"/>
              <w:jc w:val="both"/>
              <w:outlineLvl w:val="3"/>
              <w:rPr>
                <w:rFonts w:ascii="Times New Roman" w:eastAsia="Times New Roman" w:hAnsi="Times New Roman" w:cs="Times New Roman"/>
                <w:sz w:val="24"/>
                <w:szCs w:val="24"/>
                <w:rtl/>
              </w:rPr>
            </w:pPr>
            <w:r w:rsidRPr="003C285E">
              <w:rPr>
                <w:rFonts w:ascii="Times New Roman" w:eastAsia="Times New Roman" w:hAnsi="Times New Roman" w:cs="Times New Roman"/>
                <w:sz w:val="24"/>
                <w:szCs w:val="24"/>
              </w:rPr>
              <w:t>The forensic science project will strengthen the justice sector and will safeguard human dignity and good governance.</w:t>
            </w:r>
            <w:r>
              <w:rPr>
                <w:rFonts w:ascii="Times New Roman" w:eastAsia="Times New Roman" w:hAnsi="Times New Roman" w:cs="Times New Roman"/>
                <w:sz w:val="24"/>
                <w:szCs w:val="24"/>
              </w:rPr>
              <w:t xml:space="preserve"> </w:t>
            </w:r>
            <w:r w:rsidRPr="002776F6">
              <w:rPr>
                <w:rFonts w:ascii="Times New Roman" w:eastAsia="Times New Roman" w:hAnsi="Times New Roman" w:cs="Times New Roman"/>
                <w:sz w:val="24"/>
                <w:szCs w:val="24"/>
              </w:rPr>
              <w:t xml:space="preserve">The project focuses on governance, including implementation of quality management systems, strong leadership and full transparency of results, in addition to operational forensic service delivery. </w:t>
            </w:r>
            <w:r>
              <w:rPr>
                <w:rFonts w:ascii="Times New Roman" w:eastAsia="Times New Roman" w:hAnsi="Times New Roman" w:cs="Times New Roman"/>
                <w:sz w:val="24"/>
                <w:szCs w:val="24"/>
              </w:rPr>
              <w:t>The program</w:t>
            </w:r>
            <w:r w:rsidRPr="008A6C36">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the fight against terrorism,</w:t>
            </w:r>
            <w:r w:rsidRPr="008A6C36">
              <w:rPr>
                <w:rFonts w:ascii="Times New Roman" w:eastAsia="Times New Roman" w:hAnsi="Times New Roman" w:cs="Times New Roman"/>
                <w:sz w:val="24"/>
                <w:szCs w:val="24"/>
              </w:rPr>
              <w:t xml:space="preserve"> drugs and the promotion of social justice services in providing technical support and training programs in the pursuit of justice and respect for human rights.</w:t>
            </w:r>
          </w:p>
          <w:p w:rsidR="00AD19BD" w:rsidRDefault="00AD19BD" w:rsidP="00AD19BD">
            <w:pPr>
              <w:spacing w:before="150" w:after="150" w:line="36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In Al- Istiqlal university</w:t>
            </w:r>
            <w:r w:rsidRPr="008A6C36">
              <w:rPr>
                <w:rFonts w:ascii="Times New Roman" w:eastAsia="Times New Roman" w:hAnsi="Times New Roman" w:cs="Times New Roman"/>
                <w:sz w:val="24"/>
                <w:szCs w:val="24"/>
              </w:rPr>
              <w:t>, this project has been a key focus within our comprehensive strategy and we strive for cooperation and integration with our partners in the Justice Sector. We believe this project to be fundamental in achieving progress in the Security Sector in both a professional and an efficient manner. In addition to this is the necessity of fulfilling the primary responsibility of our</w:t>
            </w:r>
            <w:r>
              <w:rPr>
                <w:rFonts w:ascii="Times New Roman" w:eastAsia="Times New Roman" w:hAnsi="Times New Roman" w:cs="Times New Roman"/>
                <w:sz w:val="24"/>
                <w:szCs w:val="24"/>
              </w:rPr>
              <w:t xml:space="preserve"> state that strives to develop. </w:t>
            </w:r>
            <w:r w:rsidRPr="008A6C36">
              <w:rPr>
                <w:rFonts w:ascii="Times New Roman" w:eastAsia="Times New Roman" w:hAnsi="Times New Roman" w:cs="Times New Roman"/>
                <w:sz w:val="24"/>
                <w:szCs w:val="24"/>
              </w:rPr>
              <w:t xml:space="preserve">We have devoted and will continue to devote our efforts to well thought out strategies in order to develop our state. We have fulfilled many accomplishments, which are of great concern to our people, in our Justice and Security Systems. Justice and democracy have motivated us to prioritize our community on the basis of achieving social justice, putting an end to crime and corruption and being </w:t>
            </w:r>
            <w:r w:rsidRPr="008A6C36">
              <w:rPr>
                <w:rFonts w:ascii="Times New Roman" w:eastAsia="Times New Roman" w:hAnsi="Times New Roman" w:cs="Times New Roman"/>
                <w:sz w:val="24"/>
                <w:szCs w:val="24"/>
              </w:rPr>
              <w:lastRenderedPageBreak/>
              <w:t xml:space="preserve">dedicated to the principles of </w:t>
            </w:r>
            <w:r>
              <w:rPr>
                <w:rFonts w:ascii="Times New Roman" w:eastAsia="Times New Roman" w:hAnsi="Times New Roman" w:cs="Times New Roman"/>
                <w:sz w:val="24"/>
                <w:szCs w:val="24"/>
              </w:rPr>
              <w:t>the rule of law and of justice</w:t>
            </w:r>
            <w:r>
              <w:rPr>
                <w:rFonts w:ascii="Times New Roman" w:eastAsia="Times New Roman" w:hAnsi="Times New Roman" w:cs="Times New Roman" w:hint="cs"/>
                <w:sz w:val="24"/>
                <w:szCs w:val="24"/>
                <w:rtl/>
              </w:rPr>
              <w:t>.</w:t>
            </w:r>
          </w:p>
          <w:p w:rsidR="00515F5F" w:rsidRPr="00A132AF" w:rsidRDefault="00515F5F" w:rsidP="00AA468D">
            <w:pPr>
              <w:jc w:val="both"/>
              <w:rPr>
                <w:rFonts w:ascii="Cambria" w:hAnsi="Cambria" w:cstheme="majorBidi"/>
                <w:sz w:val="24"/>
                <w:szCs w:val="24"/>
              </w:rPr>
            </w:pPr>
          </w:p>
        </w:tc>
      </w:tr>
    </w:tbl>
    <w:p w:rsidR="00F87878" w:rsidRDefault="00F87878" w:rsidP="00BF5CB9">
      <w:pPr>
        <w:jc w:val="center"/>
        <w:rPr>
          <w:b/>
          <w:bCs/>
          <w:sz w:val="32"/>
          <w:szCs w:val="32"/>
        </w:rPr>
      </w:pPr>
    </w:p>
    <w:tbl>
      <w:tblPr>
        <w:tblStyle w:val="TableGrid"/>
        <w:tblpPr w:leftFromText="180" w:rightFromText="180" w:vertAnchor="text" w:horzAnchor="margin" w:tblpY="785"/>
        <w:tblW w:w="0" w:type="auto"/>
        <w:tblLook w:val="04A0"/>
      </w:tblPr>
      <w:tblGrid>
        <w:gridCol w:w="9468"/>
      </w:tblGrid>
      <w:tr w:rsidR="00E27626" w:rsidTr="00E27626">
        <w:trPr>
          <w:trHeight w:val="525"/>
        </w:trPr>
        <w:tc>
          <w:tcPr>
            <w:tcW w:w="9468" w:type="dxa"/>
            <w:tcBorders>
              <w:bottom w:val="single" w:sz="4" w:space="0" w:color="auto"/>
            </w:tcBorders>
            <w:shd w:val="pct15" w:color="auto" w:fill="auto"/>
            <w:vAlign w:val="center"/>
          </w:tcPr>
          <w:p w:rsidR="00E27626" w:rsidRDefault="00AB4ED4" w:rsidP="00E27626">
            <w:pPr>
              <w:rPr>
                <w:b/>
                <w:bCs/>
                <w:sz w:val="32"/>
                <w:szCs w:val="32"/>
              </w:rPr>
            </w:pPr>
            <w:r>
              <w:rPr>
                <w:b/>
                <w:bCs/>
                <w:sz w:val="32"/>
                <w:szCs w:val="32"/>
              </w:rPr>
              <w:t>What are we looking for</w:t>
            </w:r>
            <w:r w:rsidR="00E27626">
              <w:rPr>
                <w:b/>
                <w:bCs/>
                <w:sz w:val="32"/>
                <w:szCs w:val="32"/>
              </w:rPr>
              <w:t>?</w:t>
            </w:r>
          </w:p>
        </w:tc>
      </w:tr>
      <w:tr w:rsidR="00E27626" w:rsidTr="00E27626">
        <w:trPr>
          <w:trHeight w:val="827"/>
        </w:trPr>
        <w:tc>
          <w:tcPr>
            <w:tcW w:w="9468" w:type="dxa"/>
            <w:tcBorders>
              <w:top w:val="single" w:sz="4" w:space="0" w:color="auto"/>
            </w:tcBorders>
          </w:tcPr>
          <w:p w:rsidR="009D587C" w:rsidRDefault="009D587C" w:rsidP="009D587C">
            <w:pPr>
              <w:pStyle w:val="NormalWeb"/>
              <w:jc w:val="both"/>
            </w:pPr>
            <w:r>
              <w:t>The project will include the following results:</w:t>
            </w:r>
          </w:p>
          <w:p w:rsidR="009D587C" w:rsidRDefault="009D587C" w:rsidP="009D587C">
            <w:pPr>
              <w:pStyle w:val="NormalWeb"/>
              <w:numPr>
                <w:ilvl w:val="0"/>
                <w:numId w:val="1"/>
              </w:numPr>
            </w:pPr>
            <w:r>
              <w:t>Supplement</w:t>
            </w:r>
            <w:r w:rsidR="001C712D">
              <w:t xml:space="preserve"> </w:t>
            </w:r>
            <w:r>
              <w:rPr>
                <w:lang w:val="tr-TR"/>
              </w:rPr>
              <w:t xml:space="preserve">of </w:t>
            </w:r>
            <w:r>
              <w:t>Palestinian security services and the judiciary in graduated and trained cadres in forensic science.</w:t>
            </w:r>
          </w:p>
          <w:p w:rsidR="009D587C" w:rsidRDefault="009D587C" w:rsidP="009D587C">
            <w:pPr>
              <w:pStyle w:val="NormalWeb"/>
              <w:numPr>
                <w:ilvl w:val="0"/>
                <w:numId w:val="1"/>
              </w:numPr>
            </w:pPr>
            <w:r>
              <w:t>Improvement institutional capacity to manage forensic services.</w:t>
            </w:r>
          </w:p>
          <w:p w:rsidR="009D587C" w:rsidRDefault="009D587C" w:rsidP="009D587C">
            <w:pPr>
              <w:pStyle w:val="NormalWeb"/>
              <w:numPr>
                <w:ilvl w:val="0"/>
                <w:numId w:val="1"/>
              </w:numPr>
            </w:pPr>
            <w:r>
              <w:t>Enhancement knowledge, skills and competencies of forensic scientists.</w:t>
            </w:r>
          </w:p>
          <w:p w:rsidR="009D587C" w:rsidRDefault="009D587C" w:rsidP="009D587C">
            <w:pPr>
              <w:pStyle w:val="NormalWeb"/>
              <w:numPr>
                <w:ilvl w:val="0"/>
                <w:numId w:val="1"/>
              </w:numPr>
            </w:pPr>
            <w:r>
              <w:t>Enhancement research in forensic science field.</w:t>
            </w:r>
          </w:p>
          <w:p w:rsidR="009D587C" w:rsidRDefault="009D587C" w:rsidP="009D587C">
            <w:pPr>
              <w:pStyle w:val="NormalWeb"/>
              <w:numPr>
                <w:ilvl w:val="0"/>
                <w:numId w:val="1"/>
              </w:numPr>
            </w:pPr>
            <w:r>
              <w:t>Improvement the application of scientific methods and techniques to the investigation of crimes in Palestine.</w:t>
            </w:r>
          </w:p>
          <w:p w:rsidR="009D587C" w:rsidRPr="00556AE4" w:rsidRDefault="009D587C" w:rsidP="00556AE4">
            <w:pPr>
              <w:pStyle w:val="NormalWeb"/>
              <w:numPr>
                <w:ilvl w:val="0"/>
                <w:numId w:val="1"/>
              </w:numPr>
              <w:jc w:val="both"/>
              <w:rPr>
                <w:b/>
                <w:bCs/>
              </w:rPr>
            </w:pPr>
            <w:r>
              <w:rPr>
                <w:sz w:val="23"/>
                <w:szCs w:val="23"/>
              </w:rPr>
              <w:t>To establishment training institute for capacity building of sister organizations and Human Resource Development.</w:t>
            </w:r>
          </w:p>
          <w:p w:rsidR="009D587C" w:rsidRDefault="009D587C" w:rsidP="00556AE4">
            <w:pPr>
              <w:pStyle w:val="NormalWeb"/>
              <w:numPr>
                <w:ilvl w:val="0"/>
                <w:numId w:val="1"/>
              </w:numPr>
            </w:pPr>
            <w:r>
              <w:t>Strengthen the foundations of and operational tools for modern forensic science services in Palestine.</w:t>
            </w:r>
          </w:p>
          <w:p w:rsidR="009D587C" w:rsidRDefault="009D587C" w:rsidP="009D587C">
            <w:pPr>
              <w:pStyle w:val="NormalWeb"/>
              <w:numPr>
                <w:ilvl w:val="0"/>
                <w:numId w:val="1"/>
              </w:numPr>
            </w:pPr>
            <w:r>
              <w:t>Investment in training future leaders in the field through building their administrative and management skills.</w:t>
            </w:r>
          </w:p>
          <w:p w:rsidR="00AA468D" w:rsidRPr="009D587C" w:rsidRDefault="009D587C" w:rsidP="009D587C">
            <w:pPr>
              <w:pStyle w:val="NormalWeb"/>
              <w:numPr>
                <w:ilvl w:val="0"/>
                <w:numId w:val="1"/>
              </w:numPr>
            </w:pPr>
            <w:r>
              <w:t>Strengthen existing forensic medicine institutes. Emphasis will also be placed on the expansion of clinical forensic medicine services, especially with regard to sexual assault and family violence.</w:t>
            </w:r>
          </w:p>
          <w:p w:rsidR="00E27626" w:rsidRPr="00754A10" w:rsidRDefault="00E27626" w:rsidP="00E27626">
            <w:pPr>
              <w:jc w:val="both"/>
              <w:rPr>
                <w:rFonts w:asciiTheme="majorBidi" w:hAnsiTheme="majorBidi" w:cstheme="majorBidi"/>
                <w:sz w:val="28"/>
                <w:szCs w:val="28"/>
              </w:rPr>
            </w:pPr>
          </w:p>
        </w:tc>
      </w:tr>
    </w:tbl>
    <w:p w:rsidR="00BF5CB9" w:rsidRPr="00BF5CB9" w:rsidRDefault="00BF5CB9" w:rsidP="005E4FFF">
      <w:pPr>
        <w:tabs>
          <w:tab w:val="left" w:pos="5820"/>
        </w:tabs>
        <w:rPr>
          <w:b/>
          <w:bCs/>
          <w:sz w:val="32"/>
          <w:szCs w:val="32"/>
        </w:rPr>
      </w:pPr>
    </w:p>
    <w:sectPr w:rsidR="00BF5CB9" w:rsidRPr="00BF5CB9" w:rsidSect="00741E2A">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40" w:rsidRDefault="00334240" w:rsidP="005E4FFF">
      <w:pPr>
        <w:spacing w:after="0" w:line="240" w:lineRule="auto"/>
      </w:pPr>
      <w:r>
        <w:separator/>
      </w:r>
    </w:p>
  </w:endnote>
  <w:endnote w:type="continuationSeparator" w:id="0">
    <w:p w:rsidR="00334240" w:rsidRDefault="00334240" w:rsidP="005E4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FF" w:rsidRPr="00061326" w:rsidRDefault="00061326" w:rsidP="00061326">
    <w:pPr>
      <w:pStyle w:val="Footer"/>
      <w:jc w:val="center"/>
      <w:rPr>
        <w:rFonts w:asciiTheme="majorBidi" w:hAnsiTheme="majorBidi" w:cstheme="majorBidi"/>
        <w:color w:val="BFBFBF" w:themeColor="background1" w:themeShade="BF"/>
        <w:sz w:val="20"/>
        <w:szCs w:val="20"/>
      </w:rPr>
    </w:pPr>
    <w:r w:rsidRPr="00061326">
      <w:rPr>
        <w:rFonts w:asciiTheme="majorBidi" w:hAnsiTheme="majorBidi" w:cstheme="majorBidi"/>
        <w:color w:val="BFBFBF" w:themeColor="background1" w:themeShade="BF"/>
        <w:sz w:val="20"/>
        <w:szCs w:val="20"/>
      </w:rPr>
      <w:t>Virtual Reality as an innovative and immersive Learning tools for HEIs in Palestine - ERASMUS+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40" w:rsidRDefault="00334240" w:rsidP="005E4FFF">
      <w:pPr>
        <w:spacing w:after="0" w:line="240" w:lineRule="auto"/>
      </w:pPr>
      <w:r>
        <w:separator/>
      </w:r>
    </w:p>
  </w:footnote>
  <w:footnote w:type="continuationSeparator" w:id="0">
    <w:p w:rsidR="00334240" w:rsidRDefault="00334240" w:rsidP="005E4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FF" w:rsidRDefault="008748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677214" o:spid="_x0000_s7170" type="#_x0000_t136" style="position:absolute;margin-left:0;margin-top:0;width:507.6pt;height:152.25pt;rotation:315;z-index:-251654144;mso-position-horizontal:center;mso-position-horizontal-relative:margin;mso-position-vertical:center;mso-position-vertical-relative:margin" o:allowincell="f" fillcolor="silver" stroked="f">
          <v:fill opacity=".5"/>
          <v:textpath style="font-family:&quot;Californian FB&quot;;font-size:1pt" string="ERASMU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FF" w:rsidRPr="001D4F24" w:rsidRDefault="008748C6" w:rsidP="004F38F8">
    <w:pPr>
      <w:jc w:val="center"/>
      <w:rPr>
        <w:b/>
        <w:bCs/>
        <w:color w:val="FFFFFF" w:themeColor="background1"/>
        <w:sz w:val="32"/>
        <w:szCs w:val="32"/>
      </w:rPr>
    </w:pPr>
    <w:r w:rsidRPr="008748C6">
      <w:rPr>
        <w:noProof/>
        <w:color w:val="FFFFFF" w:themeColor="background1"/>
        <w:highlight w:val="darkGra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677215" o:spid="_x0000_s7171" type="#_x0000_t136" style="position:absolute;left:0;text-align:left;margin-left:0;margin-top:0;width:507.6pt;height:152.25pt;rotation:315;z-index:-251652096;mso-position-horizontal:center;mso-position-horizontal-relative:margin;mso-position-vertical:center;mso-position-vertical-relative:margin" o:allowincell="f" fillcolor="silver" stroked="f">
          <v:fill opacity=".5"/>
          <v:textpath style="font-family:&quot;Californian FB&quot;;font-size:1pt" string="ERASMUS+"/>
          <w10:wrap anchorx="margin" anchory="margin"/>
        </v:shape>
      </w:pict>
    </w:r>
    <w:r w:rsidR="005E4FFF" w:rsidRPr="001D4F24">
      <w:rPr>
        <w:b/>
        <w:bCs/>
        <w:color w:val="FFFFFF" w:themeColor="background1"/>
        <w:sz w:val="32"/>
        <w:szCs w:val="32"/>
        <w:highlight w:val="darkGray"/>
      </w:rPr>
      <w:t xml:space="preserve">ERASMUS+ Project </w:t>
    </w:r>
    <w:r w:rsidR="004F38F8" w:rsidRPr="001D4F24">
      <w:rPr>
        <w:b/>
        <w:bCs/>
        <w:color w:val="FFFFFF" w:themeColor="background1"/>
        <w:sz w:val="32"/>
        <w:szCs w:val="32"/>
        <w:highlight w:val="darkGray"/>
      </w:rPr>
      <w:t>Communication Leaflet</w:t>
    </w:r>
  </w:p>
  <w:p w:rsidR="005E4FFF" w:rsidRDefault="005E4F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FF" w:rsidRDefault="008748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677213" o:spid="_x0000_s7169" type="#_x0000_t136" style="position:absolute;margin-left:0;margin-top:0;width:507.6pt;height:152.25pt;rotation:315;z-index:-251656192;mso-position-horizontal:center;mso-position-horizontal-relative:margin;mso-position-vertical:center;mso-position-vertical-relative:margin" o:allowincell="f" fillcolor="silver" stroked="f">
          <v:fill opacity=".5"/>
          <v:textpath style="font-family:&quot;Californian FB&quot;;font-size:1pt" string="ERASMU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6DD3"/>
    <w:multiLevelType w:val="multilevel"/>
    <w:tmpl w:val="1C40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7"/>
    </o:shapelayout>
  </w:hdrShapeDefaults>
  <w:footnotePr>
    <w:footnote w:id="-1"/>
    <w:footnote w:id="0"/>
  </w:footnotePr>
  <w:endnotePr>
    <w:endnote w:id="-1"/>
    <w:endnote w:id="0"/>
  </w:endnotePr>
  <w:compat/>
  <w:rsids>
    <w:rsidRoot w:val="00BF5CB9"/>
    <w:rsid w:val="00061326"/>
    <w:rsid w:val="000D72B2"/>
    <w:rsid w:val="000F320C"/>
    <w:rsid w:val="00111DDC"/>
    <w:rsid w:val="001817F5"/>
    <w:rsid w:val="001C712D"/>
    <w:rsid w:val="001D4F24"/>
    <w:rsid w:val="001F3BD9"/>
    <w:rsid w:val="00201FC8"/>
    <w:rsid w:val="002155C1"/>
    <w:rsid w:val="002176F7"/>
    <w:rsid w:val="002658E2"/>
    <w:rsid w:val="00281C09"/>
    <w:rsid w:val="002E66C7"/>
    <w:rsid w:val="002F50A4"/>
    <w:rsid w:val="00311E91"/>
    <w:rsid w:val="00320CCA"/>
    <w:rsid w:val="00330085"/>
    <w:rsid w:val="00334240"/>
    <w:rsid w:val="0035470F"/>
    <w:rsid w:val="0037163B"/>
    <w:rsid w:val="003B7797"/>
    <w:rsid w:val="003C1F59"/>
    <w:rsid w:val="003C5916"/>
    <w:rsid w:val="00441C97"/>
    <w:rsid w:val="00460C39"/>
    <w:rsid w:val="004B2581"/>
    <w:rsid w:val="004F38F8"/>
    <w:rsid w:val="00515F5F"/>
    <w:rsid w:val="00556AE4"/>
    <w:rsid w:val="00563C23"/>
    <w:rsid w:val="005E1335"/>
    <w:rsid w:val="005E4FFF"/>
    <w:rsid w:val="00641F09"/>
    <w:rsid w:val="00655827"/>
    <w:rsid w:val="00695F89"/>
    <w:rsid w:val="006C585B"/>
    <w:rsid w:val="006D50BD"/>
    <w:rsid w:val="006E1482"/>
    <w:rsid w:val="007065A0"/>
    <w:rsid w:val="00741E2A"/>
    <w:rsid w:val="00754A10"/>
    <w:rsid w:val="00770933"/>
    <w:rsid w:val="0078145F"/>
    <w:rsid w:val="007E6A78"/>
    <w:rsid w:val="00832ED1"/>
    <w:rsid w:val="00837328"/>
    <w:rsid w:val="0084001C"/>
    <w:rsid w:val="008748C6"/>
    <w:rsid w:val="008B513D"/>
    <w:rsid w:val="00932E7F"/>
    <w:rsid w:val="009B639F"/>
    <w:rsid w:val="009C7C24"/>
    <w:rsid w:val="009D587C"/>
    <w:rsid w:val="00A132AF"/>
    <w:rsid w:val="00A76841"/>
    <w:rsid w:val="00AA468D"/>
    <w:rsid w:val="00AB4ED4"/>
    <w:rsid w:val="00AB6998"/>
    <w:rsid w:val="00AD19BD"/>
    <w:rsid w:val="00B50F92"/>
    <w:rsid w:val="00B57829"/>
    <w:rsid w:val="00BC77C5"/>
    <w:rsid w:val="00BE2059"/>
    <w:rsid w:val="00BF5CB9"/>
    <w:rsid w:val="00C66381"/>
    <w:rsid w:val="00CB2EBA"/>
    <w:rsid w:val="00CB5EF5"/>
    <w:rsid w:val="00CC100F"/>
    <w:rsid w:val="00D617B0"/>
    <w:rsid w:val="00D86024"/>
    <w:rsid w:val="00DB6A63"/>
    <w:rsid w:val="00DC5FD8"/>
    <w:rsid w:val="00E21210"/>
    <w:rsid w:val="00E27626"/>
    <w:rsid w:val="00E90132"/>
    <w:rsid w:val="00E91436"/>
    <w:rsid w:val="00F02E10"/>
    <w:rsid w:val="00F609E1"/>
    <w:rsid w:val="00F87878"/>
    <w:rsid w:val="00F90FF5"/>
    <w:rsid w:val="00FB53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C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4FFF"/>
    <w:pPr>
      <w:ind w:left="720"/>
      <w:contextualSpacing/>
    </w:pPr>
  </w:style>
  <w:style w:type="paragraph" w:styleId="Header">
    <w:name w:val="header"/>
    <w:basedOn w:val="Normal"/>
    <w:link w:val="HeaderChar"/>
    <w:uiPriority w:val="99"/>
    <w:semiHidden/>
    <w:unhideWhenUsed/>
    <w:rsid w:val="005E4F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FFF"/>
  </w:style>
  <w:style w:type="paragraph" w:styleId="Footer">
    <w:name w:val="footer"/>
    <w:basedOn w:val="Normal"/>
    <w:link w:val="FooterChar"/>
    <w:uiPriority w:val="99"/>
    <w:semiHidden/>
    <w:unhideWhenUsed/>
    <w:rsid w:val="005E4F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FFF"/>
  </w:style>
  <w:style w:type="paragraph" w:styleId="NormalWeb">
    <w:name w:val="Normal (Web)"/>
    <w:basedOn w:val="Normal"/>
    <w:uiPriority w:val="99"/>
    <w:unhideWhenUsed/>
    <w:rsid w:val="00AD19BD"/>
    <w:pPr>
      <w:spacing w:before="225" w:after="225" w:line="240" w:lineRule="auto"/>
    </w:pPr>
    <w:rPr>
      <w:rFonts w:ascii="Times New Roman" w:eastAsia="Times New Roman" w:hAnsi="Times New Roman" w:cs="Times New Roman"/>
      <w:sz w:val="24"/>
      <w:szCs w:val="24"/>
    </w:rPr>
  </w:style>
  <w:style w:type="paragraph" w:customStyle="1" w:styleId="Default">
    <w:name w:val="Default"/>
    <w:rsid w:val="00AD19BD"/>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5177962">
      <w:bodyDiv w:val="1"/>
      <w:marLeft w:val="0"/>
      <w:marRight w:val="0"/>
      <w:marTop w:val="0"/>
      <w:marBottom w:val="0"/>
      <w:divBdr>
        <w:top w:val="none" w:sz="0" w:space="0" w:color="auto"/>
        <w:left w:val="none" w:sz="0" w:space="0" w:color="auto"/>
        <w:bottom w:val="none" w:sz="0" w:space="0" w:color="auto"/>
        <w:right w:val="none" w:sz="0" w:space="0" w:color="auto"/>
      </w:divBdr>
    </w:div>
    <w:div w:id="5151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A8EF-D56F-4E71-B091-6FBBDE6B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dc:creator>
  <cp:lastModifiedBy>fuzia.marmsh</cp:lastModifiedBy>
  <cp:revision>2</cp:revision>
  <cp:lastPrinted>2016-11-13T07:28:00Z</cp:lastPrinted>
  <dcterms:created xsi:type="dcterms:W3CDTF">2016-12-25T08:50:00Z</dcterms:created>
  <dcterms:modified xsi:type="dcterms:W3CDTF">2016-12-25T08:50:00Z</dcterms:modified>
</cp:coreProperties>
</file>